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eastAsia="Times New Roman" w:hAnsi="Times New Roman" w:cs="Times New Roman"/>
          <w:b/>
          <w:bCs/>
          <w:caps/>
          <w:sz w:val="28"/>
          <w:szCs w:val="28"/>
        </w:rPr>
      </w:pPr>
      <w:r w:rsidRPr="00411833">
        <w:rPr>
          <w:rFonts w:ascii="Times New Roman" w:eastAsia="Times New Roman" w:hAnsi="Times New Roman" w:cs="Times New Roman"/>
          <w:b/>
          <w:caps/>
          <w:sz w:val="28"/>
          <w:szCs w:val="28"/>
          <w:u w:val="single"/>
        </w:rPr>
        <w:t>SPORT MANAGEMENT EL</w:t>
      </w:r>
      <w:bookmarkStart w:id="0" w:name="_GoBack"/>
      <w:bookmarkEnd w:id="0"/>
      <w:r w:rsidRPr="00411833">
        <w:rPr>
          <w:rFonts w:ascii="Times New Roman" w:eastAsia="Times New Roman" w:hAnsi="Times New Roman" w:cs="Times New Roman"/>
          <w:b/>
          <w:caps/>
          <w:sz w:val="28"/>
          <w:szCs w:val="28"/>
          <w:u w:val="single"/>
        </w:rPr>
        <w:t>ECTIVES</w:t>
      </w:r>
    </w:p>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The Sport Management major requires six (6) credits of electives.  The courses listed on these pages fulfill elective requirements for the Sport Management major.  Students should consult the University online catalog to determine if any of the courses have prerequisites or restrictions.</w:t>
      </w:r>
    </w:p>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The following table lists the 377 and 955 courses recommended to fulfill elective requirements for the Sport Management major.  A minimum of three (3) elective credits must be within the</w:t>
      </w:r>
      <w:r w:rsidRPr="00411833">
        <w:rPr>
          <w:rFonts w:ascii="Times New Roman" w:eastAsia="Times New Roman" w:hAnsi="Times New Roman" w:cs="Times New Roman"/>
          <w:color w:val="FF0000"/>
          <w:sz w:val="24"/>
          <w:szCs w:val="24"/>
        </w:rPr>
        <w:t xml:space="preserve"> </w:t>
      </w:r>
      <w:r w:rsidRPr="00411833">
        <w:rPr>
          <w:rFonts w:ascii="Times New Roman" w:eastAsia="Times New Roman" w:hAnsi="Times New Roman" w:cs="Times New Roman"/>
          <w:sz w:val="24"/>
          <w:szCs w:val="24"/>
        </w:rPr>
        <w:t>department (377 or 955 subject code).  At least three (3) elective credits must be at the 300+ level.</w:t>
      </w:r>
    </w:p>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aps/>
          <w:sz w:val="24"/>
          <w:szCs w:val="24"/>
          <w:u w:val="single"/>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6480"/>
        <w:gridCol w:w="1350"/>
      </w:tblGrid>
      <w:tr w:rsidR="00411833" w:rsidRPr="00411833" w:rsidTr="000F7B8C">
        <w:tc>
          <w:tcPr>
            <w:tcW w:w="1548" w:type="dxa"/>
            <w:tcBorders>
              <w:top w:val="nil"/>
              <w:left w:val="nil"/>
              <w:bottom w:val="nil"/>
              <w:right w:val="single" w:sz="4" w:space="0" w:color="FFFFFF" w:themeColor="background1"/>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auto"/>
              <w:jc w:val="center"/>
              <w:rPr>
                <w:rFonts w:ascii="Times New Roman" w:eastAsia="Times New Roman" w:hAnsi="Times New Roman" w:cs="Times New Roman"/>
                <w:b/>
                <w:sz w:val="24"/>
                <w:szCs w:val="24"/>
              </w:rPr>
            </w:pPr>
            <w:r w:rsidRPr="00411833">
              <w:rPr>
                <w:rFonts w:ascii="Times New Roman" w:eastAsia="Times New Roman" w:hAnsi="Times New Roman" w:cs="Times New Roman"/>
                <w:b/>
                <w:sz w:val="24"/>
                <w:szCs w:val="24"/>
              </w:rPr>
              <w:t>NUMBER</w:t>
            </w:r>
          </w:p>
        </w:tc>
        <w:tc>
          <w:tcPr>
            <w:tcW w:w="6480" w:type="dxa"/>
            <w:tcBorders>
              <w:top w:val="nil"/>
              <w:left w:val="single" w:sz="4" w:space="0" w:color="FFFFFF" w:themeColor="background1"/>
              <w:bottom w:val="nil"/>
              <w:right w:val="single" w:sz="4" w:space="0" w:color="FFFFFF" w:themeColor="background1"/>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auto"/>
              <w:jc w:val="center"/>
              <w:rPr>
                <w:rFonts w:ascii="Times New Roman" w:eastAsia="Times New Roman" w:hAnsi="Times New Roman" w:cs="Times New Roman"/>
                <w:b/>
                <w:sz w:val="24"/>
                <w:szCs w:val="24"/>
              </w:rPr>
            </w:pPr>
            <w:r w:rsidRPr="00411833">
              <w:rPr>
                <w:rFonts w:ascii="Times New Roman" w:eastAsia="Times New Roman" w:hAnsi="Times New Roman" w:cs="Times New Roman"/>
                <w:b/>
                <w:sz w:val="24"/>
                <w:szCs w:val="24"/>
              </w:rPr>
              <w:t>COURSE NAME</w:t>
            </w:r>
          </w:p>
        </w:tc>
        <w:tc>
          <w:tcPr>
            <w:tcW w:w="1350" w:type="dxa"/>
            <w:tcBorders>
              <w:top w:val="nil"/>
              <w:left w:val="single" w:sz="4" w:space="0" w:color="FFFFFF" w:themeColor="background1"/>
              <w:bottom w:val="nil"/>
              <w:right w:val="nil"/>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auto"/>
              <w:jc w:val="center"/>
              <w:rPr>
                <w:rFonts w:ascii="Times New Roman" w:eastAsia="Times New Roman" w:hAnsi="Times New Roman" w:cs="Times New Roman"/>
                <w:b/>
                <w:sz w:val="24"/>
                <w:szCs w:val="24"/>
              </w:rPr>
            </w:pPr>
            <w:r w:rsidRPr="00411833">
              <w:rPr>
                <w:rFonts w:ascii="Times New Roman" w:eastAsia="Times New Roman" w:hAnsi="Times New Roman" w:cs="Times New Roman"/>
                <w:b/>
                <w:sz w:val="24"/>
                <w:szCs w:val="24"/>
              </w:rPr>
              <w:t>CREDITS</w:t>
            </w:r>
          </w:p>
        </w:tc>
      </w:tr>
      <w:tr w:rsidR="00411833" w:rsidRPr="00411833" w:rsidTr="000F7B8C">
        <w:tc>
          <w:tcPr>
            <w:tcW w:w="1548" w:type="dxa"/>
            <w:tcBorders>
              <w:top w:val="nil"/>
            </w:tcBorders>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01:377:170</w:t>
            </w:r>
          </w:p>
        </w:tc>
        <w:tc>
          <w:tcPr>
            <w:tcW w:w="6480" w:type="dxa"/>
            <w:tcBorders>
              <w:top w:val="nil"/>
            </w:tcBorders>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Principles of Strength and Conditioning</w:t>
            </w:r>
          </w:p>
        </w:tc>
        <w:tc>
          <w:tcPr>
            <w:tcW w:w="1350" w:type="dxa"/>
            <w:tcBorders>
              <w:top w:val="nil"/>
            </w:tcBorders>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01:377:180</w:t>
            </w:r>
          </w:p>
        </w:tc>
        <w:tc>
          <w:tcPr>
            <w:tcW w:w="648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Exercise and Relaxation</w:t>
            </w:r>
          </w:p>
        </w:tc>
        <w:tc>
          <w:tcPr>
            <w:tcW w:w="135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01:377:191</w:t>
            </w:r>
          </w:p>
        </w:tc>
        <w:tc>
          <w:tcPr>
            <w:tcW w:w="648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Cardiovascular Conditioning</w:t>
            </w:r>
          </w:p>
        </w:tc>
        <w:tc>
          <w:tcPr>
            <w:tcW w:w="135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01:377:205</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Principles of Healthy Lifestyle</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01:377:225</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Contemporary Health Problems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01:377:246</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Safety Education and Emergency Care</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01:377:304</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Exercise and Aging</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01:377:324</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Movement Experiences for Individuals with Disabilities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01:377:325</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Methods of Lifestyle Assessment</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01:377:405</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Metabolism, Lifestyle and Chronic Diseases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01:377:415</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Lifestyles of the Mediterranean – Greece</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01:377:482-5</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Topics in Kinesiology and Health</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1.5/BA</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01:955:207</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Teaching and Coaching Individual and Team Sports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01:955:226</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Coaching Theory and Techniques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01:955:306</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Finance in Kinesiology and Health</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01:955:308</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Techniques of Officiating Individual and Team Sports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01:955:312</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Facilities Planning and Design</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01:955:316</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Fitness Management</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01:955:317</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Ethics and Values in Sport</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01:955:318</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Organization and Administration of College Recreational Sports</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aps/>
                <w:sz w:val="32"/>
                <w:szCs w:val="32"/>
                <w:u w:val="single"/>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01:955:331</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Gender Issues in Sport</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01:955:332</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Leadership Development in Sport</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01:955:333</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Event Management and Sponsorship in Sport</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1.5</w:t>
            </w:r>
          </w:p>
        </w:tc>
      </w:tr>
      <w:tr w:rsidR="00411833" w:rsidRPr="00411833" w:rsidTr="000F7B8C">
        <w:tc>
          <w:tcPr>
            <w:tcW w:w="1548"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01:955:412</w:t>
            </w:r>
          </w:p>
        </w:tc>
        <w:tc>
          <w:tcPr>
            <w:tcW w:w="648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Advanced Sport Marketing</w:t>
            </w:r>
          </w:p>
        </w:tc>
        <w:tc>
          <w:tcPr>
            <w:tcW w:w="1350" w:type="dxa"/>
            <w:shd w:val="clear" w:color="auto" w:fill="auto"/>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bl>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tbl>
      <w:tblPr>
        <w:tblW w:w="747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4590"/>
        <w:gridCol w:w="1440"/>
      </w:tblGrid>
      <w:tr w:rsidR="00411833" w:rsidRPr="00411833" w:rsidTr="000F7B8C">
        <w:tc>
          <w:tcPr>
            <w:tcW w:w="7470" w:type="dxa"/>
            <w:gridSpan w:val="3"/>
            <w:tcBorders>
              <w:top w:val="nil"/>
              <w:left w:val="single" w:sz="4" w:space="0" w:color="000000" w:themeColor="text1"/>
              <w:bottom w:val="single" w:sz="4" w:space="0" w:color="FFFFFF" w:themeColor="background1"/>
              <w:right w:val="nil"/>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rPr>
            </w:pPr>
            <w:r w:rsidRPr="00411833">
              <w:rPr>
                <w:rFonts w:ascii="Times New Roman" w:eastAsia="Times New Roman" w:hAnsi="Times New Roman" w:cs="Times New Roman"/>
                <w:b/>
                <w:caps/>
                <w:color w:val="FFFFFF" w:themeColor="background1"/>
                <w:sz w:val="24"/>
                <w:szCs w:val="24"/>
              </w:rPr>
              <w:t>APPROVED COURSES FROM OTHER DEPARTMENTS</w:t>
            </w:r>
          </w:p>
        </w:tc>
      </w:tr>
      <w:tr w:rsidR="00411833" w:rsidRPr="00411833" w:rsidTr="000F7B8C">
        <w:tc>
          <w:tcPr>
            <w:tcW w:w="1440" w:type="dxa"/>
            <w:tcBorders>
              <w:top w:val="single" w:sz="4" w:space="0" w:color="FFFFFF" w:themeColor="background1"/>
              <w:left w:val="single" w:sz="4" w:space="0" w:color="000000" w:themeColor="text1"/>
              <w:bottom w:val="nil"/>
              <w:right w:val="single" w:sz="4" w:space="0" w:color="FFFFFF" w:themeColor="background1"/>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olor w:val="FFFFFF" w:themeColor="background1"/>
                <w:sz w:val="24"/>
                <w:szCs w:val="24"/>
              </w:rPr>
            </w:pPr>
            <w:r w:rsidRPr="00411833">
              <w:rPr>
                <w:rFonts w:ascii="Times New Roman" w:eastAsia="Times New Roman" w:hAnsi="Times New Roman" w:cs="Times New Roman"/>
                <w:b/>
                <w:color w:val="FFFFFF" w:themeColor="background1"/>
                <w:sz w:val="24"/>
                <w:szCs w:val="24"/>
              </w:rPr>
              <w:t>NUMBER</w:t>
            </w:r>
          </w:p>
        </w:tc>
        <w:tc>
          <w:tcPr>
            <w:tcW w:w="4590"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olor w:val="FFFFFF" w:themeColor="background1"/>
                <w:sz w:val="24"/>
                <w:szCs w:val="24"/>
              </w:rPr>
            </w:pPr>
            <w:r w:rsidRPr="00411833">
              <w:rPr>
                <w:rFonts w:ascii="Times New Roman" w:eastAsia="Times New Roman" w:hAnsi="Times New Roman" w:cs="Times New Roman"/>
                <w:b/>
                <w:color w:val="FFFFFF" w:themeColor="background1"/>
                <w:sz w:val="24"/>
                <w:szCs w:val="24"/>
              </w:rPr>
              <w:t>COURSE NAME</w:t>
            </w:r>
          </w:p>
        </w:tc>
        <w:tc>
          <w:tcPr>
            <w:tcW w:w="1440" w:type="dxa"/>
            <w:tcBorders>
              <w:top w:val="single" w:sz="4" w:space="0" w:color="FFFFFF" w:themeColor="background1"/>
              <w:left w:val="single" w:sz="4" w:space="0" w:color="FFFFFF" w:themeColor="background1"/>
              <w:bottom w:val="nil"/>
              <w:right w:val="nil"/>
            </w:tcBorders>
            <w:shd w:val="clear" w:color="auto" w:fill="000000" w:themeFill="text1"/>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color w:val="FFFFFF" w:themeColor="background1"/>
                <w:sz w:val="24"/>
                <w:szCs w:val="24"/>
              </w:rPr>
            </w:pPr>
            <w:r w:rsidRPr="00411833">
              <w:rPr>
                <w:rFonts w:ascii="Times New Roman" w:eastAsia="Times New Roman" w:hAnsi="Times New Roman" w:cs="Times New Roman"/>
                <w:b/>
                <w:color w:val="FFFFFF" w:themeColor="background1"/>
                <w:sz w:val="24"/>
                <w:szCs w:val="24"/>
              </w:rPr>
              <w:t>CREDITS</w:t>
            </w:r>
          </w:p>
        </w:tc>
      </w:tr>
      <w:tr w:rsidR="00411833" w:rsidRPr="00411833" w:rsidTr="000F7B8C">
        <w:tc>
          <w:tcPr>
            <w:tcW w:w="1440" w:type="dxa"/>
            <w:tcBorders>
              <w:top w:val="nil"/>
            </w:tcBorders>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04:192:201</w:t>
            </w:r>
          </w:p>
        </w:tc>
        <w:tc>
          <w:tcPr>
            <w:tcW w:w="4590" w:type="dxa"/>
            <w:tcBorders>
              <w:top w:val="nil"/>
            </w:tcBorders>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Communication in Relationships</w:t>
            </w:r>
          </w:p>
        </w:tc>
        <w:tc>
          <w:tcPr>
            <w:tcW w:w="1440" w:type="dxa"/>
            <w:tcBorders>
              <w:top w:val="nil"/>
            </w:tcBorders>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11:373:231</w:t>
            </w:r>
          </w:p>
        </w:tc>
        <w:tc>
          <w:tcPr>
            <w:tcW w:w="459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Introduction to Marketing</w:t>
            </w:r>
          </w:p>
        </w:t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37:575:310</w:t>
            </w:r>
          </w:p>
        </w:tc>
        <w:tc>
          <w:tcPr>
            <w:tcW w:w="459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Labor Relations in Professional Sports</w:t>
            </w:r>
          </w:p>
        </w:t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37:575:314</w:t>
            </w:r>
          </w:p>
        </w:tc>
        <w:tc>
          <w:tcPr>
            <w:tcW w:w="459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Collective Bargaining</w:t>
            </w:r>
          </w:p>
        </w:t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37:575:315</w:t>
            </w:r>
          </w:p>
        </w:tc>
        <w:tc>
          <w:tcPr>
            <w:tcW w:w="459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Employment Law</w:t>
            </w:r>
          </w:p>
        </w:t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37:575:338</w:t>
            </w:r>
          </w:p>
        </w:tc>
        <w:tc>
          <w:tcPr>
            <w:tcW w:w="459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Occupational Safety and Health</w:t>
            </w:r>
          </w:p>
        </w:t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r w:rsidR="00411833" w:rsidRPr="00411833" w:rsidTr="000F7B8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01:830:373</w:t>
            </w:r>
          </w:p>
        </w:tc>
        <w:tc>
          <w:tcPr>
            <w:tcW w:w="459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Organizational and Personnel Psychology</w:t>
            </w:r>
          </w:p>
        </w:tc>
        <w:tc>
          <w:tcPr>
            <w:tcW w:w="1440" w:type="dxa"/>
          </w:tcPr>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4"/>
              </w:rPr>
            </w:pPr>
            <w:r w:rsidRPr="00411833">
              <w:rPr>
                <w:rFonts w:ascii="Times New Roman" w:eastAsia="Times New Roman" w:hAnsi="Times New Roman" w:cs="Times New Roman"/>
                <w:sz w:val="24"/>
                <w:szCs w:val="24"/>
              </w:rPr>
              <w:t>3</w:t>
            </w:r>
          </w:p>
        </w:tc>
      </w:tr>
    </w:tbl>
    <w:p w:rsidR="00411833" w:rsidRPr="00411833" w:rsidRDefault="00411833" w:rsidP="004118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12"/>
          <w:szCs w:val="12"/>
        </w:rPr>
      </w:pPr>
    </w:p>
    <w:p w:rsidR="006A65A9" w:rsidRDefault="006A65A9"/>
    <w:sectPr w:rsidR="006A65A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33" w:rsidRDefault="00411833" w:rsidP="00411833">
      <w:pPr>
        <w:spacing w:after="0" w:line="240" w:lineRule="auto"/>
      </w:pPr>
      <w:r>
        <w:separator/>
      </w:r>
    </w:p>
  </w:endnote>
  <w:endnote w:type="continuationSeparator" w:id="0">
    <w:p w:rsidR="00411833" w:rsidRDefault="00411833" w:rsidP="0041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64" w:rsidRDefault="00022C93">
    <w:pPr>
      <w:pStyle w:val="Footer"/>
    </w:pPr>
    <w:r>
      <w:t>Revised August 2020</w:t>
    </w:r>
  </w:p>
  <w:p w:rsidR="00787D64" w:rsidRDefault="0002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33" w:rsidRDefault="00411833" w:rsidP="00411833">
      <w:pPr>
        <w:spacing w:after="0" w:line="240" w:lineRule="auto"/>
      </w:pPr>
      <w:r>
        <w:separator/>
      </w:r>
    </w:p>
  </w:footnote>
  <w:footnote w:type="continuationSeparator" w:id="0">
    <w:p w:rsidR="00411833" w:rsidRDefault="00411833" w:rsidP="0041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78" w:rsidRPr="000F7B8C" w:rsidRDefault="00022C93" w:rsidP="00411833">
    <w:pPr>
      <w:pStyle w:val="Header"/>
      <w:spacing w:before="120" w:after="120"/>
      <w:rPr>
        <w:smallCaps/>
        <w:sz w:val="36"/>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3"/>
    <w:rsid w:val="00411833"/>
    <w:rsid w:val="006A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4312"/>
  <w15:chartTrackingRefBased/>
  <w15:docId w15:val="{EA260F1F-2E4F-4872-BF89-2A82EE55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33"/>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1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833"/>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18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Gonzalez</dc:creator>
  <cp:keywords/>
  <dc:description/>
  <cp:lastModifiedBy>Daria Gonzalez</cp:lastModifiedBy>
  <cp:revision>2</cp:revision>
  <dcterms:created xsi:type="dcterms:W3CDTF">2020-08-13T01:14:00Z</dcterms:created>
  <dcterms:modified xsi:type="dcterms:W3CDTF">2020-08-13T01:14:00Z</dcterms:modified>
</cp:coreProperties>
</file>